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BF" w:rsidRDefault="002D73BF" w:rsidP="00376648">
      <w:pPr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LAHKO BRANJE</w:t>
      </w: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>Nič o nas, brez nas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, je moto invalidov in pravica, ki jo priznava invalidom cela vrs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ta mednarodnih pravnih določil.</w:t>
      </w: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Številne zakonske podlage, ki priznavajo OMDR enake pravice kot ostalim ljudem, od Deklaracije o človekovih pravica 1948 do Zakon o izenačevanju možnosti invalidov 2010,</w:t>
      </w:r>
      <w:r w:rsidRPr="00674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priznava OMDR tudi aktivno soudeležbo in dostop do informacij v njim razumljivi obliki.</w:t>
      </w: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Standardna pravila za izenačevanje možnosti invalidov, 1993, kot predpogoj za enakopravno vključevanje invalidov opredeljuje 22 mehanizmov. </w:t>
      </w:r>
      <w:r w:rsidRPr="00674215">
        <w:rPr>
          <w:rStyle w:val="Sprotnaopomba-sklic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: </w:t>
      </w:r>
    </w:p>
    <w:p w:rsidR="002D73BF" w:rsidRPr="00A46D1B" w:rsidRDefault="002D73BF" w:rsidP="00A46D1B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Posamezniki in tudi širša javnost zlahka razume potrebo po podpornih komunikacijskih mehanizmih pri senzornih motnjah- potrebo po Braillovem zapisu, tolmaču, </w:t>
      </w:r>
      <w:proofErr w:type="spellStart"/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gestovni</w:t>
      </w:r>
      <w:proofErr w:type="spellEnd"/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komunikaciji, veliko težje pa razume </w:t>
      </w:r>
      <w:r w:rsidRPr="00674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>potrebo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674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>po lahko berljivi in razumljivi obliki zapisa.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Besedila za lahko razumljivo in berljivo obliko se pišejo v skladu z Evropskimi pravili za pripravo informacij v lahko berljivi in razumljivi obliki. 2008 (</w:t>
      </w:r>
      <w:r w:rsidR="00A46D1B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Evropska pravila za pripravo literature v lahko berljivi obliki: </w:t>
      </w:r>
      <w:hyperlink r:id="rId7" w:history="1">
        <w:r w:rsidRPr="00F543C6">
          <w:rPr>
            <w:rStyle w:val="Hiperpovezava"/>
            <w:rFonts w:ascii="Times New Roman" w:hAnsi="Times New Roman" w:cs="Times New Roman"/>
            <w:sz w:val="24"/>
            <w:szCs w:val="24"/>
            <w:lang w:eastAsia="sl-SI"/>
          </w:rPr>
          <w:t>http://easy-to-read.eu/european-standards/</w:t>
        </w:r>
      </w:hyperlink>
      <w:r w:rsidR="00A46D1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  <w:lang w:eastAsia="sl-SI"/>
        </w:rPr>
        <w:t>.</w:t>
      </w:r>
    </w:p>
    <w:p w:rsidR="00A46D1B" w:rsidRPr="00DA04A3" w:rsidRDefault="00A46D1B" w:rsidP="00A46D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Federation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Library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Institutions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easy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>-to-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read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(IFLA), Professional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. No. 120 SSBN 978-90-77897-42-3 ISSN 0168-1931. </w:t>
      </w:r>
      <w:hyperlink r:id="rId8" w:history="1">
        <w:r w:rsidRPr="00DA04A3">
          <w:rPr>
            <w:rFonts w:ascii="Times New Roman" w:hAnsi="Times New Roman" w:cs="Times New Roman"/>
            <w:sz w:val="20"/>
            <w:szCs w:val="20"/>
            <w:u w:val="single"/>
          </w:rPr>
          <w:t>https://www.ifla.org/files/assets/hq/publications/professional-report/120.pdf</w:t>
        </w:r>
      </w:hyperlink>
    </w:p>
    <w:p w:rsidR="00A46D1B" w:rsidRPr="00DA04A3" w:rsidRDefault="00A46D1B" w:rsidP="00A46D1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A04A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standards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easy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read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understand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. ISBN 2-87460-110-1.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Inclusion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Europe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4A3">
        <w:rPr>
          <w:rFonts w:ascii="Times New Roman" w:hAnsi="Times New Roman" w:cs="Times New Roman"/>
          <w:sz w:val="20"/>
          <w:szCs w:val="20"/>
        </w:rPr>
        <w:t>Commission</w:t>
      </w:r>
      <w:proofErr w:type="spellEnd"/>
      <w:r w:rsidRPr="00DA04A3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Pr="00DA04A3">
          <w:rPr>
            <w:rFonts w:ascii="Times New Roman" w:hAnsi="Times New Roman" w:cs="Times New Roman"/>
            <w:sz w:val="20"/>
            <w:szCs w:val="20"/>
            <w:u w:val="single"/>
          </w:rPr>
          <w:t>http://easy-to-read.eu/wp-content/uploads/2014/12/EN_Information_for_all.pdf</w:t>
        </w:r>
      </w:hyperlink>
    </w:p>
    <w:p w:rsidR="00A46D1B" w:rsidRPr="00DA04A3" w:rsidRDefault="00A46D1B" w:rsidP="00A46D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4A3">
        <w:rPr>
          <w:rFonts w:ascii="Times New Roman" w:hAnsi="Times New Roman" w:cs="Times New Roman"/>
          <w:sz w:val="20"/>
          <w:szCs w:val="20"/>
        </w:rPr>
        <w:t xml:space="preserve">- Informacije za vse: Evropska pravila za pripravo informacij v lahko berljivi in razumljivi obliki. 2008. Ljubljana: Zveza Sožitje. </w:t>
      </w:r>
      <w:hyperlink r:id="rId10" w:history="1">
        <w:r w:rsidRPr="00DA04A3">
          <w:rPr>
            <w:rFonts w:ascii="Times New Roman" w:hAnsi="Times New Roman" w:cs="Times New Roman"/>
            <w:sz w:val="20"/>
            <w:szCs w:val="20"/>
            <w:u w:val="single"/>
          </w:rPr>
          <w:t>http://www.zveza-sozitje.si/modules/uploader/uploads/news/files_news/INFORMACIJE.pdf</w:t>
        </w:r>
      </w:hyperlink>
    </w:p>
    <w:p w:rsidR="00A46D1B" w:rsidRPr="00F543C6" w:rsidRDefault="00A46D1B" w:rsidP="00A46D1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sl-SI"/>
        </w:rPr>
      </w:pPr>
      <w:r w:rsidRPr="00DA04A3">
        <w:rPr>
          <w:rFonts w:ascii="Times New Roman" w:hAnsi="Times New Roman" w:cs="Times New Roman"/>
          <w:sz w:val="20"/>
          <w:szCs w:val="20"/>
        </w:rPr>
        <w:t xml:space="preserve">- Ne pišite za nas brez nas. Sodelovanje ljudi z motnjami v duševnem razvoju pri pisanju lahko berljivih in razumljivih besedil. 2008. Ljubljana: Zveza Sožitje. </w:t>
      </w:r>
      <w:hyperlink r:id="rId11" w:history="1">
        <w:r w:rsidRPr="00DA04A3">
          <w:rPr>
            <w:rFonts w:ascii="Times New Roman" w:hAnsi="Times New Roman" w:cs="Times New Roman"/>
            <w:sz w:val="20"/>
            <w:szCs w:val="20"/>
            <w:u w:val="single"/>
          </w:rPr>
          <w:t>http://www.zveza-sozitje.si/modules/uploader/uploads/news/files_news/NE_PISITE_ZA_NAS_POPRAVKI.pdf</w:t>
        </w:r>
      </w:hyperlink>
    </w:p>
    <w:p w:rsidR="00A46D1B" w:rsidRDefault="00A46D1B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Kljub zakonsko opredeljenim pravicam pa razprava o predlogu zakona za OMDR v njim prilagojeni obliki v Sloveniji še ni bila omogočena.</w:t>
      </w: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>Nacionalne usmeritve za izboljšanje dostopnosti grajenega okolja, informacij in komunikacij za invalide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, ki jih je sprejela vlada leta 2005, opredeljujejo naslednji cilj in ukrep v dostopu do informacij na zakonodajni ravni za OMDR</w:t>
      </w:r>
    </w:p>
    <w:p w:rsidR="002D73BF" w:rsidRPr="00674215" w:rsidRDefault="002D73BF" w:rsidP="002D73BF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eastAsia="ArialMT" w:hAnsi="Times New Roman" w:cs="Times New Roman"/>
          <w:sz w:val="24"/>
          <w:szCs w:val="24"/>
        </w:rPr>
        <w:t>Cilj III: osebam z motnjami v duševnem razvoju ustrezno pomagati pri razumevanju informacij in jih kar najbolj vključevati v družbena dogajanja,</w:t>
      </w:r>
    </w:p>
    <w:p w:rsidR="002D73BF" w:rsidRPr="00674215" w:rsidRDefault="002D73BF" w:rsidP="002D73BF">
      <w:pPr>
        <w:pStyle w:val="Alineazaodstavkom"/>
        <w:numPr>
          <w:ilvl w:val="0"/>
          <w:numId w:val="0"/>
        </w:numPr>
        <w:spacing w:line="360" w:lineRule="auto"/>
        <w:jc w:val="left"/>
        <w:rPr>
          <w:rFonts w:ascii="Times New Roman" w:eastAsia="ArialMT" w:hAnsi="Times New Roman" w:cs="Times New Roman"/>
          <w:sz w:val="24"/>
          <w:szCs w:val="24"/>
        </w:rPr>
      </w:pPr>
      <w:r w:rsidRPr="00674215">
        <w:rPr>
          <w:rFonts w:ascii="Times New Roman" w:eastAsia="ArialMT" w:hAnsi="Times New Roman" w:cs="Times New Roman"/>
          <w:sz w:val="24"/>
          <w:szCs w:val="24"/>
        </w:rPr>
        <w:t>Ukrep: gradiva v zvezi z odločanjem na državni ali lokalni ravni prilagoditi oziroma prirediti v lahko berljivi tehniki (na primer volitve oziroma gradiva, ki so pomembna za življenje oseb z motnjami v duševnem razvoju).</w:t>
      </w:r>
    </w:p>
    <w:p w:rsidR="002D73BF" w:rsidRPr="00674215" w:rsidRDefault="002D73BF" w:rsidP="002D73BF">
      <w:pPr>
        <w:pStyle w:val="Alineazaodstavkom"/>
        <w:numPr>
          <w:ilvl w:val="0"/>
          <w:numId w:val="0"/>
        </w:numPr>
        <w:spacing w:line="360" w:lineRule="auto"/>
        <w:jc w:val="left"/>
        <w:rPr>
          <w:rFonts w:ascii="Times New Roman" w:eastAsia="ArialMT" w:hAnsi="Times New Roman" w:cs="Times New Roman"/>
          <w:sz w:val="24"/>
          <w:szCs w:val="24"/>
        </w:rPr>
      </w:pPr>
      <w:r w:rsidRPr="00674215">
        <w:rPr>
          <w:rFonts w:ascii="Times New Roman" w:eastAsia="ArialMT" w:hAnsi="Times New Roman" w:cs="Times New Roman"/>
          <w:sz w:val="24"/>
          <w:szCs w:val="24"/>
        </w:rPr>
        <w:t>Rok:</w:t>
      </w:r>
      <w:r w:rsidRPr="00674215">
        <w:rPr>
          <w:rFonts w:ascii="Times New Roman" w:hAnsi="Times New Roman" w:cs="Times New Roman"/>
          <w:sz w:val="24"/>
          <w:szCs w:val="24"/>
        </w:rPr>
        <w:t xml:space="preserve"> </w:t>
      </w:r>
      <w:r w:rsidRPr="00674215">
        <w:rPr>
          <w:rFonts w:ascii="Times New Roman" w:eastAsia="ArialMT" w:hAnsi="Times New Roman" w:cs="Times New Roman"/>
          <w:sz w:val="24"/>
          <w:szCs w:val="24"/>
        </w:rPr>
        <w:t>- do 31. 12. 2015</w:t>
      </w: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Dragoceni premik v interpretaciji pravic odraslih in temeljnih načel OMDR vpeljuje </w:t>
      </w:r>
      <w:r w:rsidRPr="00674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>Zakon o izenačevanju možnosti invalidov (ZIMI), sprejet leta 2010,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ki je bil zaradi diskriminacije posameznih ranljivih skupin nujno potreben. Hkrati se postavlja vprašanje, zakaj je treba iste pravice za njihovo uveljavljanje tolikokrat vnovično zapisati.</w:t>
      </w:r>
    </w:p>
    <w:p w:rsidR="002D73BF" w:rsidRPr="00674215" w:rsidRDefault="002D73BF" w:rsidP="002D73BF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V zadnji alineji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8. člen Zakona o izenačevanju možnosti invalidov enakopravno s konkretizacijo uvršča pri premoščanju komunikacijskih ovir tudi mehanizem podpore za OMDR – </w:t>
      </w:r>
      <w:r w:rsidRPr="00674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>zagotavljanje informacij v lahko berljivi in razumljivi obliki.</w:t>
      </w: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Diskriminacija zaradi invalidnosti vključuje tudi onemogočanje sprotnega in enakovrednega dostopa do informacij, namenjenih javnosti, brez dodatnih stroškov za invalida, upoštevajoč pri tem načelo primerne oziroma razumne prilagoditve v invalidom dostopnih oblikah zapisov, jezikov in tehnologij, ki ustrezajo različnim vrstam invalidnosti) </w:t>
      </w: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Prav tako nas v to usmerja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14. člen (dostop do obveščenosti).</w:t>
      </w: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Dostopnost do informacijskih, komunikacijskih in drugih storitev ter pomoč v nujnih primerih, to, da se pri ponujanju blaga in storitev, ki so na voljo javnosti, če je to treba, zagotovi primerna podpora, zlasti z drugo osebo (bralci, tolmači slovenskega znakovnega jezika, tolmači za </w:t>
      </w:r>
      <w:proofErr w:type="spellStart"/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gluhoslepe</w:t>
      </w:r>
      <w:proofErr w:type="spellEnd"/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), oznake v brajlici </w:t>
      </w:r>
      <w:r w:rsidRPr="00674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>ter podatki v lahko čitljivi in razumljivi obliki.</w:t>
      </w: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Ena redkih dokumentov na nacionalni ravni v lahko berljivi obliki, sta </w:t>
      </w:r>
      <w:r w:rsidR="00DF7551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ta hip 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le:</w:t>
      </w:r>
    </w:p>
    <w:p w:rsidR="002D73BF" w:rsidRPr="00674215" w:rsidRDefault="002D73BF" w:rsidP="002D73BF">
      <w:pPr>
        <w:numPr>
          <w:ilvl w:val="0"/>
          <w:numId w:val="2"/>
        </w:num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Konvencija o pravicah invalidov v lahkem branju (2008) (Zbirka človekove pravice in invalidi) </w:t>
      </w:r>
    </w:p>
    <w:p w:rsidR="002D73BF" w:rsidRPr="00674215" w:rsidRDefault="002D73BF" w:rsidP="002D73BF">
      <w:pPr>
        <w:numPr>
          <w:ilvl w:val="0"/>
          <w:numId w:val="2"/>
        </w:num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Vodnik po pravicah invalidov v lahko berljivi in razumljivi tehniki (2015).</w:t>
      </w:r>
    </w:p>
    <w:p w:rsidR="00DF7551" w:rsidRDefault="00DF7551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</w:p>
    <w:p w:rsidR="002D73BF" w:rsidRPr="00674215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Takšna besedila, v lahko berljivi obliki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pa niso primerna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zgolj za OMDR, ampak za vse osebe z znižano sposobnostjo za pisanje, branje in razumevanje, za tujce, osebe z demenco, osebe po poškodbi glave in druge.</w:t>
      </w:r>
    </w:p>
    <w:p w:rsidR="002D73BF" w:rsidRDefault="002D73BF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 w:rsidRPr="00674215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Prilagojena komunikacija je za OMDR in tudi za številne druge ranljive ciljne skupine ključnega pomena in ena osnovnih potreb za dosego svojih potencialov in mnogih drugih življenjskih ciljev in pravic.</w:t>
      </w:r>
    </w:p>
    <w:p w:rsidR="00DF7551" w:rsidRDefault="00DF7551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</w:p>
    <w:p w:rsidR="00DF7551" w:rsidRDefault="00DF7551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Da bo literatura v lahko berljivi obliki lažje dostopna tudi na naših spletnih straneh objavljamo dokumente v lahko berljivi obliki, ki so skozi leta nastajala in še nastajajo v VDC POLŽ Maribor.</w:t>
      </w:r>
    </w:p>
    <w:p w:rsidR="00DF7551" w:rsidRDefault="00DF7551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Objavljamo pa tudi druge povezave kjer je literatura v lahko berljivi obliki dostopna.</w:t>
      </w:r>
    </w:p>
    <w:p w:rsidR="00DF7551" w:rsidRPr="00674215" w:rsidRDefault="00DF7551" w:rsidP="002D73BF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V kolikor želite, da objavimo tudi vaše dokumente v lahko berljivi obliki nam sporočite svoje povezave do te literature.</w:t>
      </w:r>
    </w:p>
    <w:p w:rsidR="002D73BF" w:rsidRDefault="002D73BF" w:rsidP="00376648">
      <w:pPr>
        <w:rPr>
          <w:b/>
          <w:color w:val="002060"/>
          <w:sz w:val="48"/>
          <w:szCs w:val="48"/>
        </w:rPr>
      </w:pPr>
    </w:p>
    <w:p w:rsidR="00760E93" w:rsidRDefault="00760E93" w:rsidP="00760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POVEZAVE ZA LITERATURO V LAHKEM BRANJU</w:t>
      </w:r>
    </w:p>
    <w:p w:rsidR="00760E93" w:rsidRPr="00C12B7F" w:rsidRDefault="00760E93" w:rsidP="00760E93">
      <w:pPr>
        <w:rPr>
          <w:b/>
          <w:sz w:val="28"/>
          <w:szCs w:val="28"/>
        </w:rPr>
      </w:pPr>
      <w:r w:rsidRPr="00C12B7F">
        <w:rPr>
          <w:b/>
          <w:sz w:val="28"/>
          <w:szCs w:val="28"/>
        </w:rPr>
        <w:t>ZVEZA SOŽITJE – LAHKO BRANJE</w:t>
      </w:r>
    </w:p>
    <w:p w:rsidR="00760E93" w:rsidRPr="00C12B7F" w:rsidRDefault="00760E93" w:rsidP="00760E93">
      <w:pPr>
        <w:rPr>
          <w:b/>
          <w:sz w:val="28"/>
          <w:szCs w:val="28"/>
        </w:rPr>
      </w:pPr>
      <w:hyperlink r:id="rId12" w:history="1">
        <w:r w:rsidRPr="00C12B7F">
          <w:rPr>
            <w:rStyle w:val="Hiperpovezava"/>
            <w:b/>
            <w:sz w:val="28"/>
            <w:szCs w:val="28"/>
          </w:rPr>
          <w:t>http://www.zveza-sozitje.si/lahko-branje.3.html</w:t>
        </w:r>
      </w:hyperlink>
    </w:p>
    <w:p w:rsidR="00760E93" w:rsidRDefault="00760E93" w:rsidP="00760E93">
      <w:pPr>
        <w:rPr>
          <w:b/>
          <w:sz w:val="28"/>
          <w:szCs w:val="28"/>
        </w:rPr>
      </w:pPr>
    </w:p>
    <w:p w:rsidR="00760E93" w:rsidRPr="00C12B7F" w:rsidRDefault="00760E93" w:rsidP="00760E93">
      <w:pPr>
        <w:rPr>
          <w:b/>
          <w:sz w:val="28"/>
          <w:szCs w:val="28"/>
        </w:rPr>
      </w:pPr>
      <w:r w:rsidRPr="00C12B7F">
        <w:rPr>
          <w:b/>
          <w:sz w:val="28"/>
          <w:szCs w:val="28"/>
        </w:rPr>
        <w:t>ZAVOD RISA</w:t>
      </w:r>
    </w:p>
    <w:p w:rsidR="00760E93" w:rsidRPr="00C12B7F" w:rsidRDefault="00760E93" w:rsidP="00760E93">
      <w:pPr>
        <w:rPr>
          <w:sz w:val="28"/>
          <w:szCs w:val="28"/>
        </w:rPr>
      </w:pPr>
      <w:r w:rsidRPr="00C12B7F">
        <w:rPr>
          <w:sz w:val="28"/>
          <w:szCs w:val="28"/>
        </w:rPr>
        <w:t>LAHKO BRANJE NA SPLETU.</w:t>
      </w:r>
    </w:p>
    <w:p w:rsidR="00760E93" w:rsidRPr="00C12B7F" w:rsidRDefault="00760E93" w:rsidP="00760E93">
      <w:pPr>
        <w:rPr>
          <w:sz w:val="28"/>
          <w:szCs w:val="28"/>
        </w:rPr>
      </w:pPr>
      <w:hyperlink r:id="rId13" w:history="1">
        <w:r w:rsidRPr="00C12B7F">
          <w:rPr>
            <w:rStyle w:val="Hiperpovezava"/>
            <w:sz w:val="28"/>
            <w:szCs w:val="28"/>
          </w:rPr>
          <w:t>http://www.risa.si/20-minut/</w:t>
        </w:r>
      </w:hyperlink>
    </w:p>
    <w:p w:rsidR="00760E93" w:rsidRPr="00C12B7F" w:rsidRDefault="00760E93" w:rsidP="00760E93">
      <w:pPr>
        <w:rPr>
          <w:sz w:val="28"/>
          <w:szCs w:val="28"/>
        </w:rPr>
      </w:pPr>
      <w:r w:rsidRPr="00C12B7F">
        <w:rPr>
          <w:sz w:val="28"/>
          <w:szCs w:val="28"/>
        </w:rPr>
        <w:t>Časopis 20 minut:</w:t>
      </w:r>
    </w:p>
    <w:p w:rsidR="00760E93" w:rsidRPr="00C12B7F" w:rsidRDefault="00760E93" w:rsidP="00760E93">
      <w:pPr>
        <w:rPr>
          <w:sz w:val="28"/>
          <w:szCs w:val="28"/>
        </w:rPr>
      </w:pPr>
      <w:hyperlink r:id="rId14" w:anchor="zacetnaPozicija" w:history="1">
        <w:r w:rsidRPr="00C12B7F">
          <w:rPr>
            <w:rStyle w:val="Hiperpovezava"/>
            <w:sz w:val="28"/>
            <w:szCs w:val="28"/>
          </w:rPr>
          <w:t>http://www.risa.si/casopis-20minut/#zacetnaPozicija</w:t>
        </w:r>
      </w:hyperlink>
    </w:p>
    <w:p w:rsidR="00760E93" w:rsidRPr="00C12B7F" w:rsidRDefault="00760E93" w:rsidP="00760E93">
      <w:pPr>
        <w:rPr>
          <w:sz w:val="28"/>
          <w:szCs w:val="28"/>
        </w:rPr>
      </w:pPr>
      <w:r w:rsidRPr="00C12B7F">
        <w:rPr>
          <w:sz w:val="28"/>
          <w:szCs w:val="28"/>
        </w:rPr>
        <w:t>Knjige Lahko branje:</w:t>
      </w:r>
    </w:p>
    <w:p w:rsidR="00760E93" w:rsidRPr="00C12B7F" w:rsidRDefault="00760E93" w:rsidP="00760E93">
      <w:pPr>
        <w:rPr>
          <w:sz w:val="28"/>
          <w:szCs w:val="28"/>
        </w:rPr>
      </w:pPr>
      <w:hyperlink r:id="rId15" w:anchor="zacetnaPozicija" w:history="1">
        <w:r w:rsidRPr="00C12B7F">
          <w:rPr>
            <w:rStyle w:val="Hiperpovezava"/>
            <w:sz w:val="28"/>
            <w:szCs w:val="28"/>
          </w:rPr>
          <w:t>http://www.risa.si/knjige-lahko-branje/#zacetnaPozicija</w:t>
        </w:r>
      </w:hyperlink>
    </w:p>
    <w:p w:rsidR="00760E93" w:rsidRPr="00C12B7F" w:rsidRDefault="00760E93" w:rsidP="00760E93">
      <w:pPr>
        <w:rPr>
          <w:sz w:val="28"/>
          <w:szCs w:val="28"/>
        </w:rPr>
      </w:pPr>
      <w:r w:rsidRPr="00C12B7F">
        <w:rPr>
          <w:sz w:val="28"/>
          <w:szCs w:val="28"/>
        </w:rPr>
        <w:t>Izobraževanje o zdravju v lahko berljivi tehniki:</w:t>
      </w:r>
    </w:p>
    <w:p w:rsidR="00760E93" w:rsidRPr="00C12B7F" w:rsidRDefault="00760E93" w:rsidP="00760E93">
      <w:pPr>
        <w:rPr>
          <w:sz w:val="28"/>
          <w:szCs w:val="28"/>
        </w:rPr>
      </w:pPr>
      <w:hyperlink r:id="rId16" w:anchor="zacetnaPozicija" w:history="1">
        <w:r w:rsidRPr="00C12B7F">
          <w:rPr>
            <w:rStyle w:val="Hiperpovezava"/>
            <w:sz w:val="28"/>
            <w:szCs w:val="28"/>
          </w:rPr>
          <w:t>http://www.risa.si/izobrazevanje-o-zdravju-v-lahkoberljivi-obliki/#zacetnaPozicija</w:t>
        </w:r>
      </w:hyperlink>
    </w:p>
    <w:p w:rsidR="00760E93" w:rsidRDefault="00760E93" w:rsidP="00760E93">
      <w:pPr>
        <w:rPr>
          <w:b/>
        </w:rPr>
      </w:pPr>
    </w:p>
    <w:p w:rsidR="00760E93" w:rsidRPr="00C12B7F" w:rsidRDefault="00760E93" w:rsidP="00760E93">
      <w:pPr>
        <w:rPr>
          <w:b/>
          <w:sz w:val="28"/>
          <w:szCs w:val="28"/>
        </w:rPr>
      </w:pPr>
      <w:r w:rsidRPr="00C12B7F">
        <w:rPr>
          <w:b/>
          <w:sz w:val="28"/>
          <w:szCs w:val="28"/>
        </w:rPr>
        <w:t>PEDAGOŠKA FAKULETA UNIVERZE V MARIBORU</w:t>
      </w:r>
    </w:p>
    <w:p w:rsidR="00760E93" w:rsidRPr="00C12B7F" w:rsidRDefault="00760E93" w:rsidP="00760E93">
      <w:pPr>
        <w:rPr>
          <w:sz w:val="28"/>
          <w:szCs w:val="28"/>
        </w:rPr>
      </w:pPr>
      <w:r w:rsidRPr="00C12B7F">
        <w:rPr>
          <w:sz w:val="28"/>
          <w:szCs w:val="28"/>
        </w:rPr>
        <w:t>KRAJI V SLOVENIJI</w:t>
      </w:r>
    </w:p>
    <w:p w:rsidR="00760E93" w:rsidRPr="00C12B7F" w:rsidRDefault="00760E93" w:rsidP="00760E93">
      <w:pPr>
        <w:rPr>
          <w:sz w:val="28"/>
          <w:szCs w:val="28"/>
        </w:rPr>
      </w:pPr>
      <w:hyperlink r:id="rId17" w:history="1">
        <w:r w:rsidRPr="00C12B7F">
          <w:rPr>
            <w:rStyle w:val="Hiperpovezava"/>
            <w:sz w:val="28"/>
            <w:szCs w:val="28"/>
          </w:rPr>
          <w:t>https://pef.um.si/370/sipk+lahko+branje+20162017</w:t>
        </w:r>
      </w:hyperlink>
    </w:p>
    <w:p w:rsidR="00760E93" w:rsidRPr="00C12B7F" w:rsidRDefault="00760E93" w:rsidP="00760E93">
      <w:pPr>
        <w:rPr>
          <w:sz w:val="28"/>
          <w:szCs w:val="28"/>
        </w:rPr>
      </w:pPr>
      <w:hyperlink r:id="rId18" w:history="1">
        <w:r w:rsidRPr="00C12B7F">
          <w:rPr>
            <w:rStyle w:val="Hiperpovezava"/>
            <w:sz w:val="28"/>
            <w:szCs w:val="28"/>
          </w:rPr>
          <w:t>https://pef.um.si/content/Kraji%20v%20Sloveniji%20za%20objavo.pdf</w:t>
        </w:r>
      </w:hyperlink>
    </w:p>
    <w:p w:rsidR="00760E93" w:rsidRPr="00C12B7F" w:rsidRDefault="00760E93" w:rsidP="00760E93">
      <w:pPr>
        <w:rPr>
          <w:sz w:val="28"/>
          <w:szCs w:val="28"/>
        </w:rPr>
      </w:pPr>
      <w:hyperlink r:id="rId19" w:history="1">
        <w:r w:rsidRPr="00C12B7F">
          <w:rPr>
            <w:rStyle w:val="Hiperpovezava"/>
            <w:sz w:val="28"/>
            <w:szCs w:val="28"/>
          </w:rPr>
          <w:t>https://pef.um.si/content/Slovenija+-+brez+fotografij.pdf</w:t>
        </w:r>
      </w:hyperlink>
    </w:p>
    <w:p w:rsidR="00760E93" w:rsidRPr="00C12B7F" w:rsidRDefault="00760E93" w:rsidP="00760E93">
      <w:pPr>
        <w:rPr>
          <w:sz w:val="28"/>
          <w:szCs w:val="28"/>
        </w:rPr>
      </w:pPr>
    </w:p>
    <w:p w:rsidR="00760E93" w:rsidRPr="00C12B7F" w:rsidRDefault="00760E93" w:rsidP="00760E93">
      <w:pPr>
        <w:rPr>
          <w:b/>
          <w:sz w:val="28"/>
          <w:szCs w:val="28"/>
        </w:rPr>
      </w:pPr>
    </w:p>
    <w:p w:rsidR="00760E93" w:rsidRDefault="00760E93" w:rsidP="00376648">
      <w:pPr>
        <w:rPr>
          <w:b/>
          <w:color w:val="002060"/>
          <w:sz w:val="48"/>
          <w:szCs w:val="48"/>
        </w:rPr>
      </w:pPr>
    </w:p>
    <w:sectPr w:rsidR="0076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EB" w:rsidRDefault="003C02EB" w:rsidP="002D73BF">
      <w:pPr>
        <w:spacing w:after="0" w:line="240" w:lineRule="auto"/>
      </w:pPr>
      <w:r>
        <w:separator/>
      </w:r>
    </w:p>
  </w:endnote>
  <w:endnote w:type="continuationSeparator" w:id="0">
    <w:p w:rsidR="003C02EB" w:rsidRDefault="003C02EB" w:rsidP="002D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EB" w:rsidRDefault="003C02EB" w:rsidP="002D73BF">
      <w:pPr>
        <w:spacing w:after="0" w:line="240" w:lineRule="auto"/>
      </w:pPr>
      <w:r>
        <w:separator/>
      </w:r>
    </w:p>
  </w:footnote>
  <w:footnote w:type="continuationSeparator" w:id="0">
    <w:p w:rsidR="003C02EB" w:rsidRDefault="003C02EB" w:rsidP="002D73BF">
      <w:pPr>
        <w:spacing w:after="0" w:line="240" w:lineRule="auto"/>
      </w:pPr>
      <w:r>
        <w:continuationSeparator/>
      </w:r>
    </w:p>
  </w:footnote>
  <w:footnote w:id="1">
    <w:p w:rsidR="002D73BF" w:rsidRPr="00753AEC" w:rsidRDefault="002D73BF" w:rsidP="002D73BF">
      <w:pPr>
        <w:shd w:val="clear" w:color="auto" w:fill="FFFFFF"/>
        <w:spacing w:after="0" w:line="240" w:lineRule="auto"/>
        <w:jc w:val="both"/>
        <w:outlineLvl w:val="1"/>
        <w:rPr>
          <w:color w:val="000000"/>
          <w:sz w:val="24"/>
          <w:szCs w:val="24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Pr="007810F0">
        <w:rPr>
          <w:color w:val="000000"/>
          <w:sz w:val="24"/>
          <w:szCs w:val="24"/>
          <w:lang w:eastAsia="sl-SI"/>
        </w:rPr>
        <w:t xml:space="preserve">- </w:t>
      </w:r>
      <w:r w:rsidRPr="00824CB4">
        <w:rPr>
          <w:color w:val="000000"/>
          <w:sz w:val="20"/>
          <w:szCs w:val="20"/>
          <w:lang w:eastAsia="sl-SI"/>
        </w:rPr>
        <w:t>Standardna pravila za izenačevanje možnosti invalidov, 20. december 1993, resolucija 48/96 (OZN) kot predpogoj za enakopravno vključevanje invalidov opredeljuje 22 mehanizmov: (osveščanje, skrb</w:t>
      </w:r>
      <w:r w:rsidRPr="00753AEC">
        <w:rPr>
          <w:color w:val="000000"/>
          <w:sz w:val="20"/>
          <w:szCs w:val="20"/>
          <w:lang w:eastAsia="sl-SI"/>
        </w:rPr>
        <w:t xml:space="preserve"> za zdravje, rehabilitacija, strokovne podporne storitve, dostopnost, vzgoja in izobraževanje, zaposlovanje, socialna pomoč in varnost, družinsko življenje in integriteta, kultura, rekreacija in šport, vera, informiranje in raziskovanje, oblikovanje politike in invalidskega varstva, zakonodaja – pravno urejanje invalidskega varstva, ekonomska politika, usklajevanje dela – koordinacija, organizacije invalidov, usposabljanje strokovnega kadra, nacionalno spremljanje in vrednotenje programov za invalide in uresničevanje pravil, tehnično in gospodarsko sodelovanje, mednarodno sodelovanje</w:t>
      </w:r>
      <w:r>
        <w:rPr>
          <w:color w:val="000000"/>
          <w:sz w:val="20"/>
          <w:szCs w:val="20"/>
          <w:lang w:eastAsia="sl-SI"/>
        </w:rPr>
        <w:t>)</w:t>
      </w:r>
      <w:r w:rsidRPr="00753AEC">
        <w:rPr>
          <w:color w:val="000000"/>
          <w:sz w:val="20"/>
          <w:szCs w:val="20"/>
          <w:lang w:eastAsia="sl-SI"/>
        </w:rPr>
        <w:t>.</w:t>
      </w:r>
    </w:p>
    <w:p w:rsidR="002D73BF" w:rsidRDefault="002D73BF" w:rsidP="002D73BF">
      <w:pPr>
        <w:shd w:val="clear" w:color="auto" w:fill="FFFFFF"/>
        <w:spacing w:after="0" w:line="240" w:lineRule="auto"/>
        <w:jc w:val="both"/>
        <w:outlineLvl w:val="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15C"/>
    <w:multiLevelType w:val="hybridMultilevel"/>
    <w:tmpl w:val="318E91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0A3798"/>
    <w:multiLevelType w:val="hybridMultilevel"/>
    <w:tmpl w:val="1F7C464E"/>
    <w:lvl w:ilvl="0" w:tplc="5128C52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89"/>
    <w:rsid w:val="002D73BF"/>
    <w:rsid w:val="00376648"/>
    <w:rsid w:val="003C02EB"/>
    <w:rsid w:val="004A37F2"/>
    <w:rsid w:val="005A70A5"/>
    <w:rsid w:val="005F2E28"/>
    <w:rsid w:val="00760E93"/>
    <w:rsid w:val="0088557A"/>
    <w:rsid w:val="00A46D1B"/>
    <w:rsid w:val="00AF6889"/>
    <w:rsid w:val="00BB4F04"/>
    <w:rsid w:val="00C06A05"/>
    <w:rsid w:val="00C12B7F"/>
    <w:rsid w:val="00CE3B8E"/>
    <w:rsid w:val="00D528A9"/>
    <w:rsid w:val="00D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9AA2-6860-4874-804C-C5EB3F40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6648"/>
    <w:rPr>
      <w:color w:val="0000FF" w:themeColor="hyperlink"/>
      <w:u w:val="single"/>
    </w:rPr>
  </w:style>
  <w:style w:type="character" w:styleId="Sprotnaopomba-sklic">
    <w:name w:val="footnote reference"/>
    <w:basedOn w:val="Privzetapisavaodstavka"/>
    <w:uiPriority w:val="99"/>
    <w:semiHidden/>
    <w:rsid w:val="002D73BF"/>
    <w:rPr>
      <w:vertAlign w:val="superscript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2D73BF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2D73B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C0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files/assets/hq/publications/professional-report/120.pdf" TargetMode="External"/><Relationship Id="rId13" Type="http://schemas.openxmlformats.org/officeDocument/2006/relationships/hyperlink" Target="http://www.risa.si/20-minut/" TargetMode="External"/><Relationship Id="rId18" Type="http://schemas.openxmlformats.org/officeDocument/2006/relationships/hyperlink" Target="https://pef.um.si/content/Kraji%20v%20Sloveniji%20za%20objavo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asy-to-read.eu/european-standards/" TargetMode="External"/><Relationship Id="rId12" Type="http://schemas.openxmlformats.org/officeDocument/2006/relationships/hyperlink" Target="http://www.zveza-sozitje.si/lahko-branje.3.html" TargetMode="External"/><Relationship Id="rId17" Type="http://schemas.openxmlformats.org/officeDocument/2006/relationships/hyperlink" Target="https://pef.um.si/370/sipk+lahko+branje+2016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sa.si/izobrazevanje-o-zdravju-v-lahkoberljivi-oblik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veza-sozitje.si/modules/uploader/uploads/news/files_news/NE_PISITE_ZA_NAS_POPRAVK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sa.si/knjige-lahko-branje/" TargetMode="External"/><Relationship Id="rId10" Type="http://schemas.openxmlformats.org/officeDocument/2006/relationships/hyperlink" Target="http://www.zveza-sozitje.si/modules/uploader/uploads/news/files_news/INFORMACIJE.pdf" TargetMode="External"/><Relationship Id="rId19" Type="http://schemas.openxmlformats.org/officeDocument/2006/relationships/hyperlink" Target="https://pef.um.si/content/Slovenija+-+brez+fotografi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-to-read.eu/wp-content/uploads/2014/12/EN_Information_for_all.pdf" TargetMode="External"/><Relationship Id="rId14" Type="http://schemas.openxmlformats.org/officeDocument/2006/relationships/hyperlink" Target="http://www.risa.si/casopis-20minu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Sabina Petek</cp:lastModifiedBy>
  <cp:revision>2</cp:revision>
  <dcterms:created xsi:type="dcterms:W3CDTF">2018-02-09T06:53:00Z</dcterms:created>
  <dcterms:modified xsi:type="dcterms:W3CDTF">2018-02-09T06:53:00Z</dcterms:modified>
</cp:coreProperties>
</file>