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DCA52" w14:textId="39073387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6EF6BD68" w14:textId="77777777" w:rsidR="0096102B" w:rsidRDefault="0096102B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19EE887C" w:rsidR="00802312" w:rsidRPr="002E5641" w:rsidRDefault="006649C7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l-SI"/>
        </w:rPr>
        <w:t>PREVAJALCI IZ SLOVENŠČINE V TUJE JEZIKE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068124D1" w:rsidR="00B81F80" w:rsidRPr="008E0A90" w:rsidRDefault="0096102B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173A7D3F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3AC11D" w14:textId="578627CD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1AECC77C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6649C7">
        <w:rPr>
          <w:b/>
          <w:szCs w:val="22"/>
          <w:u w:val="single"/>
        </w:rPr>
        <w:t>prevajalcu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A56437">
        <w:trPr>
          <w:trHeight w:val="20"/>
        </w:trPr>
        <w:tc>
          <w:tcPr>
            <w:tcW w:w="4750" w:type="dxa"/>
          </w:tcPr>
          <w:p w14:paraId="1EC7D367" w14:textId="52670BDB" w:rsidR="008D5BE2" w:rsidRPr="008E0A90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vseh izdanih samostojnih prevodov izvirnih slovenskih leposlovnih ali humanističnih del pri založbah v tujini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B3E6B" w:rsidRPr="008E0A90" w14:paraId="0BFE972A" w14:textId="77777777" w:rsidTr="00A56437">
        <w:trPr>
          <w:trHeight w:val="20"/>
        </w:trPr>
        <w:tc>
          <w:tcPr>
            <w:tcW w:w="4750" w:type="dxa"/>
          </w:tcPr>
          <w:p w14:paraId="4D6DAAA1" w14:textId="76F27E5F" w:rsidR="00AB3E6B" w:rsidRPr="00AB3E6B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Tuji mediji, v katerih je prevajalec objavljal prevode iz slovenskega jezika v obdobju 201</w:t>
            </w:r>
            <w:r w:rsidR="00376E5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6</w:t>
            </w:r>
            <w:r w:rsidR="0096102B"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</w:t>
            </w: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2021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337BA9C" w14:textId="09535119" w:rsidR="00AB3E6B" w:rsidRPr="008E0A90" w:rsidRDefault="00AB3E6B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A56437">
        <w:trPr>
          <w:trHeight w:val="20"/>
        </w:trPr>
        <w:tc>
          <w:tcPr>
            <w:tcW w:w="4750" w:type="dxa"/>
          </w:tcPr>
          <w:p w14:paraId="25721257" w14:textId="5E680DD6" w:rsidR="008D5BE2" w:rsidRPr="008E0A90" w:rsidRDefault="006649C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Prejete nagrade in nominacije</w:t>
            </w:r>
            <w:r w:rsidR="00AB3E6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A56437">
        <w:trPr>
          <w:trHeight w:val="20"/>
        </w:trPr>
        <w:tc>
          <w:tcPr>
            <w:tcW w:w="4750" w:type="dxa"/>
          </w:tcPr>
          <w:p w14:paraId="12EEA69C" w14:textId="12428FC3" w:rsidR="008D5BE2" w:rsidRPr="000F2F1A" w:rsidRDefault="006649C7" w:rsidP="006649C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samostojnih prevodov izvirnih slovenskih leposlovnih ali humanističnih del pri tujih založbah v obdobju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201</w:t>
            </w:r>
            <w:r w:rsidR="00376E5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6</w:t>
            </w:r>
            <w:r w:rsidR="0096102B"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–</w:t>
            </w:r>
            <w:r w:rsidRPr="006649C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2021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87A6C56" w14:textId="06B22AAA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3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0819B1DD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lastRenderedPageBreak/>
        <w:t xml:space="preserve"> </w:t>
      </w:r>
    </w:p>
    <w:p w14:paraId="0FC788BF" w14:textId="0C8D7DF3" w:rsidR="00B81F80" w:rsidRPr="008E0A90" w:rsidRDefault="00B81F80" w:rsidP="0079744D">
      <w:pPr>
        <w:pStyle w:val="Naslov2"/>
      </w:pPr>
      <w:r w:rsidRPr="008E0A90"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41FB9AE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6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345EB50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F1A5F2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0AB4C26C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96102B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6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_Hlk97795475"/>
        <w:tc>
          <w:tcPr>
            <w:tcW w:w="3945" w:type="dxa"/>
          </w:tcPr>
          <w:p w14:paraId="23654A6F" w14:textId="4841DA4B" w:rsidR="00B81F80" w:rsidRPr="008E0A90" w:rsidRDefault="000D66F9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7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CC7CBF6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Izjavljam:</w:t>
      </w:r>
    </w:p>
    <w:p w14:paraId="1F3E9475" w14:textId="549EBFD7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96102B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612384A3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 proučil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96102B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8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8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38428345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9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96102B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FRANKFURT</w:t>
      </w:r>
      <w:r w:rsidR="0096102B" w:rsidRPr="008E0A90">
        <w:rPr>
          <w:color w:val="000000"/>
          <w:szCs w:val="22"/>
        </w:rPr>
        <w:t>–</w:t>
      </w:r>
      <w:r w:rsidR="005434B9">
        <w:rPr>
          <w:noProof/>
          <w:szCs w:val="22"/>
        </w:rPr>
        <w:t>MOBILNOST</w:t>
      </w:r>
      <w:r w:rsidR="0096102B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2022) z obveznimi prilogami:</w:t>
      </w:r>
    </w:p>
    <w:bookmarkEnd w:id="9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DE109FC" w14:textId="77777777" w:rsidR="00BB7FF7" w:rsidRPr="00BA5E3B" w:rsidRDefault="00BB7FF7" w:rsidP="00BB7FF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>
        <w:rPr>
          <w:rFonts w:ascii="Times New Roman" w:hAnsi="Times New Roman" w:cs="Times New Roman"/>
          <w:sz w:val="22"/>
          <w:szCs w:val="22"/>
          <w:lang w:val="sl-SI"/>
        </w:rPr>
        <w:t>Tjaša Urankar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>
        <w:rPr>
          <w:rFonts w:ascii="Times New Roman" w:hAnsi="Times New Roman" w:cs="Times New Roman"/>
          <w:sz w:val="22"/>
          <w:szCs w:val="22"/>
          <w:lang w:val="sl-SI"/>
        </w:rPr>
        <w:t>36958 25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val="sl-SI"/>
        </w:rPr>
        <w:t>tjasa.urankar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4B3E325F" w14:textId="5BDF3AD6" w:rsidR="00B81F80" w:rsidRPr="00BA5E3B" w:rsidRDefault="00B81F80" w:rsidP="00BB7FF7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bookmarkStart w:id="10" w:name="_GoBack"/>
      <w:bookmarkEnd w:id="10"/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53935777" w14:textId="267B1B43" w:rsidR="0096102B" w:rsidRDefault="00961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Strošek skupaj mora biti najmanj</w:t>
      </w:r>
      <w:r w:rsidR="00C95201">
        <w:t xml:space="preserve"> 1.068,1 EUR za območje A oziroma 1</w:t>
      </w:r>
      <w:r w:rsidR="00E71942">
        <w:t>.</w:t>
      </w:r>
      <w:r w:rsidR="00C95201">
        <w:t>919,5 EUR za območje B</w:t>
      </w:r>
      <w:r w:rsidR="00334053">
        <w:t>.</w:t>
      </w:r>
    </w:p>
  </w:footnote>
  <w:footnote w:id="3">
    <w:p w14:paraId="0056F28F" w14:textId="3A08A5F4" w:rsidR="0096102B" w:rsidRDefault="00C244AA" w:rsidP="009610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</w:t>
      </w:r>
      <w:r w:rsidR="007C7F16">
        <w:t xml:space="preserve">bo </w:t>
      </w:r>
      <w:r w:rsidRPr="00C244AA">
        <w:t>podelila subvencijo v enkratnem fiksnem znesku v višini</w:t>
      </w:r>
      <w:r w:rsidR="000D66F9">
        <w:t xml:space="preserve"> </w:t>
      </w:r>
      <w:r w:rsidR="000D66F9" w:rsidRPr="000D66F9">
        <w:t>747,67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>EUR</w:t>
      </w:r>
      <w:r w:rsidR="000D66F9">
        <w:t xml:space="preserve"> za območje A oziroma </w:t>
      </w:r>
      <w:r w:rsidR="000D66F9" w:rsidRPr="000D66F9">
        <w:t>1.343,65 EUR</w:t>
      </w:r>
      <w:r w:rsidRPr="00C244AA">
        <w:t xml:space="preserve">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96102B">
        <w:rPr>
          <w:b/>
          <w:bCs/>
        </w:rPr>
        <w:t xml:space="preserve"> Ker je znesek fiksen, JAK ne more podeliti ne manj ne več sredstev.</w:t>
      </w:r>
    </w:p>
    <w:p w14:paraId="6C7BB6F4" w14:textId="22A3FC4B" w:rsidR="00C244AA" w:rsidRDefault="00C244AA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4756" w14:textId="6286E4E0" w:rsidR="009017AD" w:rsidRDefault="009E0C5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20C5D"/>
    <w:rsid w:val="00072B14"/>
    <w:rsid w:val="000B6917"/>
    <w:rsid w:val="000D66F9"/>
    <w:rsid w:val="000F27AE"/>
    <w:rsid w:val="000F2F1A"/>
    <w:rsid w:val="00110219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567FA"/>
    <w:rsid w:val="0026286F"/>
    <w:rsid w:val="002629AF"/>
    <w:rsid w:val="002C0C6C"/>
    <w:rsid w:val="002D2CCD"/>
    <w:rsid w:val="002E0A26"/>
    <w:rsid w:val="002E5641"/>
    <w:rsid w:val="00305D85"/>
    <w:rsid w:val="003070B2"/>
    <w:rsid w:val="00334053"/>
    <w:rsid w:val="00362BBE"/>
    <w:rsid w:val="00376E54"/>
    <w:rsid w:val="003B46BB"/>
    <w:rsid w:val="003C643A"/>
    <w:rsid w:val="00404E35"/>
    <w:rsid w:val="00434156"/>
    <w:rsid w:val="00474C0B"/>
    <w:rsid w:val="004F6D4B"/>
    <w:rsid w:val="00517EC1"/>
    <w:rsid w:val="005434B9"/>
    <w:rsid w:val="005464DD"/>
    <w:rsid w:val="00585C0B"/>
    <w:rsid w:val="005900FC"/>
    <w:rsid w:val="005C1797"/>
    <w:rsid w:val="0060029D"/>
    <w:rsid w:val="00660E36"/>
    <w:rsid w:val="00662C47"/>
    <w:rsid w:val="006649C7"/>
    <w:rsid w:val="00665C2C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7C7F16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6102B"/>
    <w:rsid w:val="009A634F"/>
    <w:rsid w:val="009B656A"/>
    <w:rsid w:val="009C4DFC"/>
    <w:rsid w:val="009E0C56"/>
    <w:rsid w:val="00A431AB"/>
    <w:rsid w:val="00A56437"/>
    <w:rsid w:val="00A632C1"/>
    <w:rsid w:val="00A97FF7"/>
    <w:rsid w:val="00AB3E6B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B7FF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95201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DF1012"/>
    <w:rsid w:val="00E23F3F"/>
    <w:rsid w:val="00E24196"/>
    <w:rsid w:val="00E71942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C39FC-8A82-404D-9F7E-27E99C40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2</cp:revision>
  <cp:lastPrinted>2021-02-17T15:18:00Z</cp:lastPrinted>
  <dcterms:created xsi:type="dcterms:W3CDTF">2022-09-29T10:23:00Z</dcterms:created>
  <dcterms:modified xsi:type="dcterms:W3CDTF">2022-09-29T10:23:00Z</dcterms:modified>
</cp:coreProperties>
</file>